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15A29" w14:textId="77777777" w:rsidR="00000000" w:rsidRDefault="003000B3">
      <w:pPr>
        <w:adjustRightInd/>
        <w:spacing w:line="248" w:lineRule="exact"/>
        <w:rPr>
          <w:rFonts w:ascii="ＭＳ ゴシック" w:cs="Times New Roman"/>
        </w:rPr>
      </w:pPr>
    </w:p>
    <w:p w14:paraId="624CB96C" w14:textId="77777777" w:rsidR="00000000" w:rsidRDefault="003000B3">
      <w:pPr>
        <w:adjustRightInd/>
        <w:spacing w:line="248" w:lineRule="exact"/>
        <w:rPr>
          <w:rFonts w:ascii="ＭＳ ゴシック" w:cs="Times New Roman"/>
        </w:rPr>
      </w:pPr>
      <w:r>
        <w:rPr>
          <w:rFonts w:ascii="ＭＳ ゴシック" w:eastAsia="メイリオ" w:cs="メイリオ" w:hint="eastAsia"/>
        </w:rPr>
        <w:t>別記様式６</w:t>
      </w:r>
    </w:p>
    <w:p w14:paraId="34725F0B" w14:textId="77777777" w:rsidR="00000000" w:rsidRDefault="003000B3">
      <w:pPr>
        <w:adjustRightInd/>
        <w:spacing w:line="248" w:lineRule="exact"/>
        <w:rPr>
          <w:rFonts w:ascii="ＭＳ ゴシック" w:cs="Times New Roman"/>
        </w:rPr>
      </w:pPr>
    </w:p>
    <w:p w14:paraId="22B4F7AC" w14:textId="77777777" w:rsidR="00000000" w:rsidRDefault="003000B3">
      <w:pPr>
        <w:adjustRightInd/>
        <w:spacing w:line="248" w:lineRule="exact"/>
        <w:rPr>
          <w:rFonts w:ascii="ＭＳ ゴシック" w:cs="Times New Roman"/>
        </w:rPr>
      </w:pPr>
      <w:r>
        <w:rPr>
          <w:rFonts w:ascii="メイリオ" w:hAnsi="メイリオ" w:cs="メイリオ"/>
        </w:rPr>
        <w:t xml:space="preserve">                                                              </w:t>
      </w:r>
      <w:r>
        <w:rPr>
          <w:rFonts w:ascii="ＭＳ ゴシック" w:eastAsia="メイリオ" w:cs="メイリオ" w:hint="eastAsia"/>
        </w:rPr>
        <w:t xml:space="preserve">　　　（用紙Ａ４）</w:t>
      </w:r>
    </w:p>
    <w:p w14:paraId="138E50B0" w14:textId="77777777" w:rsidR="00000000" w:rsidRDefault="003000B3">
      <w:pPr>
        <w:adjustRightInd/>
        <w:spacing w:line="248" w:lineRule="exact"/>
        <w:rPr>
          <w:rFonts w:ascii="ＭＳ ゴシック" w:cs="Times New Roman"/>
        </w:rPr>
      </w:pPr>
    </w:p>
    <w:p w14:paraId="55BA2330" w14:textId="77777777" w:rsidR="00000000" w:rsidRDefault="003000B3">
      <w:pPr>
        <w:adjustRightInd/>
        <w:spacing w:line="248" w:lineRule="exact"/>
        <w:rPr>
          <w:rFonts w:ascii="ＭＳ ゴシック" w:cs="Times New Roman"/>
        </w:rPr>
      </w:pPr>
    </w:p>
    <w:p w14:paraId="60E4CB91" w14:textId="77777777" w:rsidR="00000000" w:rsidRDefault="003000B3">
      <w:pPr>
        <w:adjustRightInd/>
        <w:spacing w:line="368" w:lineRule="exact"/>
        <w:jc w:val="center"/>
        <w:rPr>
          <w:rFonts w:ascii="ＭＳ ゴシック" w:cs="Times New Roman"/>
        </w:rPr>
      </w:pPr>
      <w:r>
        <w:rPr>
          <w:rFonts w:ascii="ＭＳ ゴシック" w:eastAsia="メイリオ" w:cs="メイリオ" w:hint="eastAsia"/>
          <w:sz w:val="36"/>
          <w:szCs w:val="36"/>
        </w:rPr>
        <w:t>事故及び不誠実な行為</w:t>
      </w:r>
    </w:p>
    <w:p w14:paraId="44625F6E" w14:textId="77777777" w:rsidR="00000000" w:rsidRDefault="003000B3">
      <w:pPr>
        <w:adjustRightInd/>
        <w:spacing w:line="248" w:lineRule="exact"/>
        <w:jc w:val="center"/>
        <w:rPr>
          <w:rFonts w:ascii="ＭＳ ゴシック" w:cs="Times New Roman"/>
        </w:rPr>
      </w:pPr>
      <w:r>
        <w:rPr>
          <w:rFonts w:ascii="ＭＳ ゴシック" w:eastAsia="メイリオ" w:cs="メイリオ" w:hint="eastAsia"/>
        </w:rPr>
        <w:t>（弓削商船高専（下弓削）駐輪場新営工事）</w:t>
      </w:r>
    </w:p>
    <w:p w14:paraId="0CF3CC11" w14:textId="77777777" w:rsidR="00000000" w:rsidRDefault="003000B3">
      <w:pPr>
        <w:adjustRightInd/>
        <w:spacing w:line="248" w:lineRule="exact"/>
        <w:rPr>
          <w:rFonts w:ascii="ＭＳ ゴシック" w:cs="Times New Roman"/>
        </w:rPr>
      </w:pPr>
    </w:p>
    <w:p w14:paraId="7FE85820" w14:textId="77777777" w:rsidR="00000000" w:rsidRDefault="003000B3">
      <w:pPr>
        <w:adjustRightInd/>
        <w:spacing w:line="248" w:lineRule="exact"/>
        <w:rPr>
          <w:rFonts w:ascii="ＭＳ ゴシック" w:cs="Times New Roman"/>
        </w:rPr>
      </w:pPr>
    </w:p>
    <w:p w14:paraId="0F89CD6C" w14:textId="77777777" w:rsidR="00000000" w:rsidRDefault="003000B3">
      <w:pPr>
        <w:adjustRightInd/>
        <w:spacing w:line="248" w:lineRule="exact"/>
        <w:rPr>
          <w:rFonts w:ascii="ＭＳ ゴシック" w:cs="Times New Roman"/>
        </w:rPr>
      </w:pPr>
    </w:p>
    <w:p w14:paraId="349A5D36" w14:textId="77777777" w:rsidR="00000000" w:rsidRDefault="003000B3">
      <w:pPr>
        <w:adjustRightInd/>
        <w:spacing w:line="248" w:lineRule="exact"/>
        <w:rPr>
          <w:rFonts w:ascii="ＭＳ ゴシック" w:cs="Times New Roman"/>
        </w:rPr>
      </w:pPr>
      <w:r>
        <w:rPr>
          <w:rFonts w:ascii="メイリオ" w:hAnsi="メイリオ" w:cs="メイリオ"/>
        </w:rPr>
        <w:t xml:space="preserve">                                           </w:t>
      </w:r>
      <w:r>
        <w:rPr>
          <w:rFonts w:ascii="ＭＳ ゴシック" w:eastAsia="メイリオ" w:cs="メイリオ" w:hint="eastAsia"/>
          <w:u w:val="single" w:color="000000"/>
        </w:rPr>
        <w:t xml:space="preserve">会社名：　　　　　　　　　　　　　　　　</w:t>
      </w:r>
    </w:p>
    <w:p w14:paraId="20F6A434" w14:textId="77777777" w:rsidR="00000000" w:rsidRDefault="003000B3">
      <w:pPr>
        <w:adjustRightInd/>
        <w:spacing w:line="248" w:lineRule="exact"/>
        <w:rPr>
          <w:rFonts w:ascii="ＭＳ ゴシック" w:cs="Times New Roman"/>
        </w:rPr>
      </w:pPr>
    </w:p>
    <w:p w14:paraId="31063296" w14:textId="77777777" w:rsidR="00000000" w:rsidRDefault="003000B3">
      <w:pPr>
        <w:adjustRightInd/>
        <w:spacing w:line="248" w:lineRule="exact"/>
        <w:rPr>
          <w:rFonts w:ascii="ＭＳ ゴシック" w:cs="Times New Roman"/>
        </w:rPr>
      </w:pPr>
    </w:p>
    <w:p w14:paraId="55CF7A36" w14:textId="77777777" w:rsidR="00000000" w:rsidRDefault="003000B3">
      <w:pPr>
        <w:adjustRightInd/>
        <w:spacing w:line="248" w:lineRule="exact"/>
        <w:rPr>
          <w:rFonts w:ascii="ＭＳ ゴシック" w:cs="Times New Roman"/>
        </w:rPr>
      </w:pPr>
      <w:r>
        <w:rPr>
          <w:rFonts w:ascii="メイリオ" w:hAnsi="メイリオ" w:cs="メイリオ"/>
        </w:rPr>
        <w:t xml:space="preserve"> </w:t>
      </w:r>
      <w:r>
        <w:rPr>
          <w:rFonts w:ascii="ＭＳ ゴシック" w:eastAsia="メイリオ" w:cs="メイリオ" w:hint="eastAsia"/>
        </w:rPr>
        <w:t>１）営業停止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23"/>
        <w:gridCol w:w="6728"/>
      </w:tblGrid>
      <w:tr w:rsidR="00000000" w14:paraId="106F260E" w14:textId="77777777">
        <w:tblPrEx>
          <w:tblCellMar>
            <w:top w:w="0" w:type="dxa"/>
            <w:bottom w:w="0" w:type="dxa"/>
          </w:tblCellMar>
        </w:tblPrEx>
        <w:tc>
          <w:tcPr>
            <w:tcW w:w="9851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13903BAB" w14:textId="77777777" w:rsidR="00000000" w:rsidRDefault="003000B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ゴシック" w:cs="Times New Roman"/>
              </w:rPr>
            </w:pPr>
          </w:p>
          <w:p w14:paraId="1F4DBEA1" w14:textId="77777777" w:rsidR="00000000" w:rsidRDefault="003000B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ゴシック" w:cs="Times New Roman"/>
              </w:rPr>
            </w:pPr>
          </w:p>
          <w:p w14:paraId="0496E01D" w14:textId="77777777" w:rsidR="00000000" w:rsidRDefault="003000B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ゴシック" w:cs="Times New Roman"/>
              </w:rPr>
            </w:pPr>
            <w:r>
              <w:rPr>
                <w:rFonts w:ascii="メイリオ" w:hAnsi="メイリオ" w:cs="メイリオ"/>
              </w:rPr>
              <w:t xml:space="preserve">   </w:t>
            </w:r>
            <w:r>
              <w:rPr>
                <w:rFonts w:ascii="ＭＳ ゴシック" w:eastAsia="メイリオ" w:cs="メイリオ" w:hint="eastAsia"/>
              </w:rPr>
              <w:t>愛媛県又は近隣県（</w:t>
            </w:r>
            <w:r>
              <w:rPr>
                <w:rFonts w:ascii="ＭＳ ゴシック" w:eastAsia="メイリオ" w:cs="メイリオ" w:hint="eastAsia"/>
                <w:spacing w:val="2"/>
              </w:rPr>
              <w:t>岡山県，広島県，徳島県，香川県</w:t>
            </w:r>
            <w:r>
              <w:rPr>
                <w:rFonts w:ascii="ＭＳ ゴシック" w:eastAsia="メイリオ" w:cs="メイリオ" w:hint="eastAsia"/>
              </w:rPr>
              <w:t>，高知県）に</w:t>
            </w:r>
            <w:r>
              <w:rPr>
                <w:rFonts w:ascii="ＭＳ ゴシック" w:eastAsia="メイリオ" w:cs="メイリオ" w:hint="eastAsia"/>
                <w:spacing w:val="2"/>
              </w:rPr>
              <w:t>おいて受けた営業停止措置のうち，令和４年６月１３日以降に期間が終了したもの</w:t>
            </w:r>
            <w:r>
              <w:rPr>
                <w:rFonts w:ascii="ＭＳ ゴシック" w:eastAsia="メイリオ" w:cs="メイリオ" w:hint="eastAsia"/>
              </w:rPr>
              <w:t>を全て記載すること。</w:t>
            </w:r>
          </w:p>
          <w:p w14:paraId="2B205FCD" w14:textId="77777777" w:rsidR="00000000" w:rsidRDefault="003000B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ゴシック" w:cs="Times New Roman"/>
              </w:rPr>
            </w:pPr>
          </w:p>
          <w:p w14:paraId="1407F5D8" w14:textId="77777777" w:rsidR="00000000" w:rsidRDefault="003000B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ゴシック" w:cs="Times New Roman"/>
              </w:rPr>
            </w:pPr>
          </w:p>
        </w:tc>
      </w:tr>
      <w:tr w:rsidR="00000000" w14:paraId="1675BC0F" w14:textId="77777777">
        <w:tblPrEx>
          <w:tblCellMar>
            <w:top w:w="0" w:type="dxa"/>
            <w:bottom w:w="0" w:type="dxa"/>
          </w:tblCellMar>
        </w:tblPrEx>
        <w:tc>
          <w:tcPr>
            <w:tcW w:w="312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13139E9C" w14:textId="77777777" w:rsidR="00000000" w:rsidRDefault="003000B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ゴシック" w:cs="Times New Roman"/>
              </w:rPr>
            </w:pPr>
          </w:p>
          <w:p w14:paraId="72B890FF" w14:textId="77777777" w:rsidR="00000000" w:rsidRDefault="003000B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ascii="ＭＳ ゴシック" w:cs="Times New Roman"/>
              </w:rPr>
            </w:pPr>
            <w:r>
              <w:rPr>
                <w:rFonts w:ascii="ＭＳ ゴシック" w:eastAsia="メイリオ" w:cs="メイリオ" w:hint="eastAsia"/>
              </w:rPr>
              <w:t>措置を行った機関</w:t>
            </w:r>
          </w:p>
        </w:tc>
        <w:tc>
          <w:tcPr>
            <w:tcW w:w="67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2D9F8E09" w14:textId="77777777" w:rsidR="00000000" w:rsidRDefault="003000B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ゴシック" w:cs="Times New Roman"/>
              </w:rPr>
            </w:pPr>
          </w:p>
          <w:p w14:paraId="5D18AB6F" w14:textId="77777777" w:rsidR="00000000" w:rsidRDefault="003000B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ascii="ＭＳ ゴシック" w:cs="Times New Roman"/>
              </w:rPr>
            </w:pPr>
            <w:r>
              <w:rPr>
                <w:rFonts w:ascii="ＭＳ ゴシック" w:eastAsia="メイリオ" w:cs="メイリオ" w:hint="eastAsia"/>
              </w:rPr>
              <w:t>営業停止の期間</w:t>
            </w:r>
          </w:p>
        </w:tc>
      </w:tr>
      <w:tr w:rsidR="00000000" w14:paraId="750142F4" w14:textId="77777777">
        <w:tblPrEx>
          <w:tblCellMar>
            <w:top w:w="0" w:type="dxa"/>
            <w:bottom w:w="0" w:type="dxa"/>
          </w:tblCellMar>
        </w:tblPrEx>
        <w:tc>
          <w:tcPr>
            <w:tcW w:w="312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3DBC5328" w14:textId="77777777" w:rsidR="00000000" w:rsidRDefault="003000B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ゴシック" w:cs="Times New Roman"/>
              </w:rPr>
            </w:pPr>
          </w:p>
          <w:p w14:paraId="7CCEF8D9" w14:textId="77777777" w:rsidR="00000000" w:rsidRDefault="003000B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ゴシック" w:cs="Times New Roman"/>
              </w:rPr>
            </w:pPr>
          </w:p>
          <w:p w14:paraId="2B2D9C70" w14:textId="77777777" w:rsidR="00000000" w:rsidRDefault="003000B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ascii="ＭＳ ゴシック" w:cs="Times New Roman"/>
              </w:rPr>
            </w:pPr>
          </w:p>
          <w:p w14:paraId="0FD7350E" w14:textId="77777777" w:rsidR="00000000" w:rsidRDefault="003000B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ascii="ＭＳ ゴシック" w:cs="Times New Roman"/>
              </w:rPr>
            </w:pPr>
          </w:p>
          <w:p w14:paraId="4E1B0EAF" w14:textId="77777777" w:rsidR="00000000" w:rsidRDefault="003000B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ascii="ＭＳ ゴシック" w:cs="Times New Roman"/>
              </w:rPr>
            </w:pPr>
          </w:p>
          <w:p w14:paraId="7F0F3D0A" w14:textId="77777777" w:rsidR="00000000" w:rsidRDefault="003000B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67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06A5B74D" w14:textId="77777777" w:rsidR="00000000" w:rsidRDefault="003000B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ゴシック" w:cs="Times New Roman"/>
              </w:rPr>
            </w:pPr>
          </w:p>
          <w:p w14:paraId="1E75B275" w14:textId="77777777" w:rsidR="00000000" w:rsidRDefault="003000B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ゴシック" w:cs="Times New Roman"/>
              </w:rPr>
            </w:pPr>
          </w:p>
          <w:p w14:paraId="244BEFCC" w14:textId="77777777" w:rsidR="00000000" w:rsidRDefault="003000B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ゴシック" w:cs="Times New Roman"/>
              </w:rPr>
            </w:pPr>
          </w:p>
          <w:p w14:paraId="103B2EEB" w14:textId="77777777" w:rsidR="00000000" w:rsidRDefault="003000B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ゴシック" w:cs="Times New Roman"/>
              </w:rPr>
            </w:pPr>
          </w:p>
          <w:p w14:paraId="49839DA0" w14:textId="77777777" w:rsidR="00000000" w:rsidRDefault="003000B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ゴシック" w:cs="Times New Roman"/>
              </w:rPr>
            </w:pPr>
          </w:p>
          <w:p w14:paraId="5942DC10" w14:textId="77777777" w:rsidR="00000000" w:rsidRDefault="003000B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ゴシック" w:cs="Times New Roman"/>
              </w:rPr>
            </w:pPr>
          </w:p>
        </w:tc>
      </w:tr>
    </w:tbl>
    <w:p w14:paraId="4C726F1E" w14:textId="77777777" w:rsidR="00000000" w:rsidRDefault="003000B3">
      <w:pPr>
        <w:adjustRightInd/>
        <w:spacing w:line="248" w:lineRule="exact"/>
        <w:rPr>
          <w:rFonts w:ascii="ＭＳ ゴシック" w:cs="Times New Roman"/>
        </w:rPr>
      </w:pPr>
      <w:r>
        <w:rPr>
          <w:rFonts w:ascii="メイリオ" w:hAnsi="メイリオ" w:cs="メイリオ"/>
        </w:rPr>
        <w:t xml:space="preserve"> </w:t>
      </w:r>
    </w:p>
    <w:p w14:paraId="5D1DC211" w14:textId="77777777" w:rsidR="00000000" w:rsidRDefault="003000B3">
      <w:pPr>
        <w:adjustRightInd/>
        <w:spacing w:line="248" w:lineRule="exact"/>
        <w:rPr>
          <w:rFonts w:ascii="ＭＳ ゴシック" w:cs="Times New Roman"/>
        </w:rPr>
      </w:pPr>
    </w:p>
    <w:p w14:paraId="59AADCCB" w14:textId="77777777" w:rsidR="00000000" w:rsidRDefault="003000B3">
      <w:pPr>
        <w:adjustRightInd/>
        <w:spacing w:line="248" w:lineRule="exact"/>
        <w:rPr>
          <w:rFonts w:ascii="ＭＳ ゴシック" w:cs="Times New Roman"/>
        </w:rPr>
      </w:pPr>
      <w:r>
        <w:rPr>
          <w:rFonts w:ascii="メイリオ" w:hAnsi="メイリオ" w:cs="メイリオ"/>
        </w:rPr>
        <w:t xml:space="preserve"> </w:t>
      </w:r>
      <w:r>
        <w:rPr>
          <w:rFonts w:ascii="ＭＳ ゴシック" w:eastAsia="メイリオ" w:cs="メイリオ" w:hint="eastAsia"/>
        </w:rPr>
        <w:t>２）指名停止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23"/>
        <w:gridCol w:w="6728"/>
      </w:tblGrid>
      <w:tr w:rsidR="00000000" w14:paraId="7A9B0BBA" w14:textId="77777777">
        <w:tblPrEx>
          <w:tblCellMar>
            <w:top w:w="0" w:type="dxa"/>
            <w:bottom w:w="0" w:type="dxa"/>
          </w:tblCellMar>
        </w:tblPrEx>
        <w:tc>
          <w:tcPr>
            <w:tcW w:w="9851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0AE530B1" w14:textId="77777777" w:rsidR="00000000" w:rsidRDefault="003000B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ゴシック" w:cs="Times New Roman"/>
              </w:rPr>
            </w:pPr>
          </w:p>
          <w:p w14:paraId="15899AB8" w14:textId="77777777" w:rsidR="00000000" w:rsidRDefault="003000B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ゴシック" w:cs="Times New Roman"/>
              </w:rPr>
            </w:pPr>
          </w:p>
          <w:p w14:paraId="5B0142F5" w14:textId="77777777" w:rsidR="00000000" w:rsidRDefault="003000B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ゴシック" w:cs="Times New Roman"/>
              </w:rPr>
            </w:pPr>
            <w:r>
              <w:rPr>
                <w:rFonts w:ascii="メイリオ" w:hAnsi="メイリオ" w:cs="メイリオ"/>
              </w:rPr>
              <w:t xml:space="preserve">   </w:t>
            </w:r>
            <w:r>
              <w:rPr>
                <w:rFonts w:ascii="ＭＳ ゴシック" w:eastAsia="メイリオ" w:cs="メイリオ" w:hint="eastAsia"/>
              </w:rPr>
              <w:t>全国又は中国・四国地区において受けた文部科学省による指名停止措置のうち，令和４年６月１３日以</w:t>
            </w:r>
            <w:r>
              <w:rPr>
                <w:rFonts w:ascii="ＭＳ ゴシック" w:eastAsia="メイリオ" w:cs="メイリオ" w:hint="eastAsia"/>
              </w:rPr>
              <w:t>降に期間が終了したものを全て記載すること。</w:t>
            </w:r>
          </w:p>
          <w:p w14:paraId="5A72A118" w14:textId="77777777" w:rsidR="00000000" w:rsidRDefault="003000B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ゴシック" w:cs="Times New Roman"/>
              </w:rPr>
            </w:pPr>
          </w:p>
        </w:tc>
      </w:tr>
      <w:tr w:rsidR="00000000" w14:paraId="25BB655D" w14:textId="77777777">
        <w:tblPrEx>
          <w:tblCellMar>
            <w:top w:w="0" w:type="dxa"/>
            <w:bottom w:w="0" w:type="dxa"/>
          </w:tblCellMar>
        </w:tblPrEx>
        <w:tc>
          <w:tcPr>
            <w:tcW w:w="312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291DE1FF" w14:textId="77777777" w:rsidR="00000000" w:rsidRDefault="003000B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ゴシック" w:cs="Times New Roman"/>
              </w:rPr>
            </w:pPr>
          </w:p>
          <w:p w14:paraId="7A73BE30" w14:textId="77777777" w:rsidR="00000000" w:rsidRDefault="003000B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ascii="ＭＳ ゴシック" w:cs="Times New Roman"/>
              </w:rPr>
            </w:pPr>
            <w:r>
              <w:rPr>
                <w:rFonts w:ascii="ＭＳ ゴシック" w:eastAsia="メイリオ" w:cs="メイリオ" w:hint="eastAsia"/>
              </w:rPr>
              <w:t>措置を行った機関</w:t>
            </w:r>
          </w:p>
        </w:tc>
        <w:tc>
          <w:tcPr>
            <w:tcW w:w="67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45542D60" w14:textId="77777777" w:rsidR="00000000" w:rsidRDefault="003000B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ゴシック" w:cs="Times New Roman"/>
              </w:rPr>
            </w:pPr>
          </w:p>
          <w:p w14:paraId="495D921E" w14:textId="77777777" w:rsidR="00000000" w:rsidRDefault="003000B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ascii="ＭＳ ゴシック" w:cs="Times New Roman"/>
              </w:rPr>
            </w:pPr>
            <w:r>
              <w:rPr>
                <w:rFonts w:ascii="ＭＳ ゴシック" w:eastAsia="メイリオ" w:cs="メイリオ" w:hint="eastAsia"/>
              </w:rPr>
              <w:t>指名停止の期間</w:t>
            </w:r>
          </w:p>
        </w:tc>
      </w:tr>
      <w:tr w:rsidR="00000000" w14:paraId="3E693E7A" w14:textId="77777777">
        <w:tblPrEx>
          <w:tblCellMar>
            <w:top w:w="0" w:type="dxa"/>
            <w:bottom w:w="0" w:type="dxa"/>
          </w:tblCellMar>
        </w:tblPrEx>
        <w:tc>
          <w:tcPr>
            <w:tcW w:w="312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12C59CF" w14:textId="77777777" w:rsidR="00000000" w:rsidRDefault="003000B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ゴシック" w:cs="Times New Roman"/>
              </w:rPr>
            </w:pPr>
          </w:p>
          <w:p w14:paraId="3D7E1671" w14:textId="77777777" w:rsidR="00000000" w:rsidRDefault="003000B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ゴシック" w:cs="Times New Roman"/>
              </w:rPr>
            </w:pPr>
          </w:p>
          <w:p w14:paraId="292FC864" w14:textId="77777777" w:rsidR="00000000" w:rsidRDefault="003000B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ゴシック" w:cs="Times New Roman"/>
              </w:rPr>
            </w:pPr>
          </w:p>
          <w:p w14:paraId="292767EA" w14:textId="77777777" w:rsidR="00000000" w:rsidRDefault="003000B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ゴシック" w:cs="Times New Roman"/>
              </w:rPr>
            </w:pPr>
          </w:p>
          <w:p w14:paraId="67CA4FB3" w14:textId="77777777" w:rsidR="00000000" w:rsidRDefault="003000B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ゴシック" w:cs="Times New Roman"/>
              </w:rPr>
            </w:pPr>
          </w:p>
          <w:p w14:paraId="5760821C" w14:textId="77777777" w:rsidR="00000000" w:rsidRDefault="003000B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67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2C6C3E38" w14:textId="77777777" w:rsidR="00000000" w:rsidRDefault="003000B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ゴシック" w:cs="Times New Roman"/>
              </w:rPr>
            </w:pPr>
          </w:p>
          <w:p w14:paraId="4F9BC036" w14:textId="77777777" w:rsidR="00000000" w:rsidRDefault="003000B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ゴシック" w:cs="Times New Roman"/>
              </w:rPr>
            </w:pPr>
          </w:p>
          <w:p w14:paraId="2529B79A" w14:textId="77777777" w:rsidR="00000000" w:rsidRDefault="003000B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ゴシック" w:cs="Times New Roman"/>
              </w:rPr>
            </w:pPr>
          </w:p>
          <w:p w14:paraId="4C755C92" w14:textId="77777777" w:rsidR="00000000" w:rsidRDefault="003000B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ゴシック" w:cs="Times New Roman"/>
              </w:rPr>
            </w:pPr>
          </w:p>
          <w:p w14:paraId="4D6D2DC5" w14:textId="77777777" w:rsidR="00000000" w:rsidRDefault="003000B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ゴシック" w:cs="Times New Roman"/>
              </w:rPr>
            </w:pPr>
          </w:p>
          <w:p w14:paraId="7081CB82" w14:textId="77777777" w:rsidR="00000000" w:rsidRDefault="003000B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ゴシック" w:cs="Times New Roman"/>
              </w:rPr>
            </w:pPr>
          </w:p>
        </w:tc>
      </w:tr>
    </w:tbl>
    <w:p w14:paraId="668E98B9" w14:textId="77777777" w:rsidR="00000000" w:rsidRDefault="003000B3">
      <w:pPr>
        <w:adjustRightInd/>
        <w:spacing w:line="248" w:lineRule="exact"/>
        <w:rPr>
          <w:rFonts w:ascii="ＭＳ ゴシック" w:cs="Times New Roman"/>
        </w:rPr>
      </w:pPr>
      <w:r>
        <w:rPr>
          <w:rFonts w:ascii="メイリオ" w:hAnsi="メイリオ" w:cs="メイリオ"/>
        </w:rPr>
        <w:t xml:space="preserve">   </w:t>
      </w:r>
      <w:r>
        <w:rPr>
          <w:rFonts w:ascii="ＭＳ ゴシック" w:eastAsia="メイリオ" w:cs="メイリオ" w:hint="eastAsia"/>
        </w:rPr>
        <w:t>注）　営業停止及び指名停止の通知の写しを添付すること。</w:t>
      </w:r>
    </w:p>
    <w:p w14:paraId="0785D936" w14:textId="77777777" w:rsidR="00000000" w:rsidRDefault="003000B3">
      <w:pPr>
        <w:adjustRightInd/>
        <w:spacing w:line="248" w:lineRule="exact"/>
        <w:rPr>
          <w:rFonts w:ascii="ＭＳ ゴシック" w:cs="Times New Roman"/>
        </w:rPr>
      </w:pPr>
    </w:p>
    <w:p w14:paraId="34EAA497" w14:textId="77777777" w:rsidR="00000000" w:rsidRDefault="003000B3">
      <w:pPr>
        <w:adjustRightInd/>
        <w:spacing w:line="248" w:lineRule="exact"/>
        <w:rPr>
          <w:rFonts w:ascii="ＭＳ ゴシック" w:cs="Times New Roman"/>
        </w:rPr>
      </w:pPr>
    </w:p>
    <w:p w14:paraId="28B902A2" w14:textId="77777777" w:rsidR="00000000" w:rsidRDefault="003000B3">
      <w:pPr>
        <w:adjustRightInd/>
        <w:spacing w:line="368" w:lineRule="exact"/>
        <w:jc w:val="center"/>
        <w:rPr>
          <w:rFonts w:ascii="ＭＳ ゴシック" w:cs="Times New Roman"/>
        </w:rPr>
      </w:pPr>
      <w:r>
        <w:rPr>
          <w:rFonts w:ascii="ＭＳ ゴシック" w:eastAsia="メイリオ" w:cs="メイリオ" w:hint="eastAsia"/>
          <w:sz w:val="36"/>
          <w:szCs w:val="36"/>
        </w:rPr>
        <w:t>法令遵守に対する全社的な対応状況</w:t>
      </w:r>
    </w:p>
    <w:p w14:paraId="5CA6C928" w14:textId="77777777" w:rsidR="00000000" w:rsidRDefault="003000B3">
      <w:pPr>
        <w:adjustRightInd/>
        <w:spacing w:line="248" w:lineRule="exact"/>
        <w:rPr>
          <w:rFonts w:ascii="ＭＳ ゴシック" w:cs="Times New Roman"/>
        </w:rPr>
      </w:pPr>
    </w:p>
    <w:p w14:paraId="057FE83D" w14:textId="77777777" w:rsidR="00000000" w:rsidRDefault="003000B3">
      <w:pPr>
        <w:adjustRightInd/>
        <w:spacing w:line="248" w:lineRule="exact"/>
        <w:rPr>
          <w:rFonts w:ascii="ＭＳ ゴシック" w:cs="Times New Roman"/>
        </w:rPr>
      </w:pPr>
    </w:p>
    <w:tbl>
      <w:tblPr>
        <w:tblW w:w="0" w:type="auto"/>
        <w:tblInd w:w="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406"/>
        <w:gridCol w:w="4205"/>
      </w:tblGrid>
      <w:tr w:rsidR="00000000" w14:paraId="2D1E9933" w14:textId="77777777">
        <w:tblPrEx>
          <w:tblCellMar>
            <w:top w:w="0" w:type="dxa"/>
            <w:bottom w:w="0" w:type="dxa"/>
          </w:tblCellMar>
        </w:tblPrEx>
        <w:tc>
          <w:tcPr>
            <w:tcW w:w="54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16FD246F" w14:textId="77777777" w:rsidR="00000000" w:rsidRDefault="003000B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ゴシック" w:cs="Times New Roman"/>
              </w:rPr>
            </w:pPr>
          </w:p>
          <w:p w14:paraId="086B799D" w14:textId="77777777" w:rsidR="00000000" w:rsidRDefault="003000B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ascii="ＭＳ ゴシック" w:cs="Times New Roman"/>
              </w:rPr>
            </w:pPr>
            <w:r>
              <w:rPr>
                <w:rFonts w:ascii="ＭＳ ゴシック" w:eastAsia="メイリオ" w:cs="メイリオ" w:hint="eastAsia"/>
              </w:rPr>
              <w:t>法令遵守に対する全社的な体制や規定の整備</w:t>
            </w:r>
          </w:p>
          <w:p w14:paraId="1E2533DC" w14:textId="77777777" w:rsidR="00000000" w:rsidRDefault="003000B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420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14433EC4" w14:textId="77777777" w:rsidR="00000000" w:rsidRDefault="003000B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ゴシック" w:cs="Times New Roman"/>
              </w:rPr>
            </w:pPr>
          </w:p>
          <w:p w14:paraId="72CB8F63" w14:textId="77777777" w:rsidR="00000000" w:rsidRDefault="003000B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ascii="ＭＳ ゴシック" w:cs="Times New Roman"/>
              </w:rPr>
            </w:pPr>
            <w:r>
              <w:rPr>
                <w:rFonts w:ascii="ＭＳ ゴシック" w:eastAsia="メイリオ" w:cs="メイリオ" w:hint="eastAsia"/>
                <w:spacing w:val="120"/>
              </w:rPr>
              <w:t>有・</w:t>
            </w:r>
            <w:r>
              <w:rPr>
                <w:rFonts w:ascii="ＭＳ ゴシック" w:eastAsia="メイリオ" w:cs="メイリオ" w:hint="eastAsia"/>
              </w:rPr>
              <w:t>無</w:t>
            </w:r>
          </w:p>
          <w:p w14:paraId="0648ACEC" w14:textId="77777777" w:rsidR="00000000" w:rsidRDefault="003000B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ゴシック" w:cs="Times New Roman"/>
              </w:rPr>
            </w:pPr>
          </w:p>
        </w:tc>
      </w:tr>
    </w:tbl>
    <w:p w14:paraId="09E80D9A" w14:textId="77777777" w:rsidR="00000000" w:rsidRDefault="003000B3">
      <w:pPr>
        <w:adjustRightInd/>
        <w:spacing w:line="248" w:lineRule="exact"/>
        <w:rPr>
          <w:rFonts w:ascii="ＭＳ ゴシック" w:cs="Times New Roman"/>
        </w:rPr>
      </w:pPr>
      <w:r>
        <w:rPr>
          <w:rFonts w:ascii="メイリオ" w:hAnsi="メイリオ" w:cs="メイリオ"/>
        </w:rPr>
        <w:t xml:space="preserve">  </w:t>
      </w:r>
    </w:p>
    <w:p w14:paraId="265E78C8" w14:textId="77777777" w:rsidR="00000000" w:rsidRDefault="003000B3">
      <w:pPr>
        <w:adjustRightInd/>
        <w:spacing w:line="248" w:lineRule="exact"/>
        <w:rPr>
          <w:rFonts w:ascii="ＭＳ ゴシック" w:cs="Times New Roman"/>
        </w:rPr>
      </w:pPr>
      <w:r>
        <w:rPr>
          <w:rFonts w:ascii="ＭＳ ゴシック" w:eastAsia="メイリオ" w:cs="メイリオ" w:hint="eastAsia"/>
        </w:rPr>
        <w:t xml:space="preserve">　注　</w:t>
      </w:r>
      <w:r>
        <w:rPr>
          <w:rFonts w:ascii="メイリオ" w:hAnsi="メイリオ" w:cs="メイリオ"/>
        </w:rPr>
        <w:t xml:space="preserve"> </w:t>
      </w:r>
      <w:r>
        <w:rPr>
          <w:rFonts w:ascii="ＭＳ ゴシック" w:eastAsia="メイリオ" w:cs="メイリオ" w:hint="eastAsia"/>
          <w:spacing w:val="6"/>
        </w:rPr>
        <w:t>有・無のいづれかに○をつけること。有に○をつけた場合は，対応状況がわか</w:t>
      </w:r>
      <w:r>
        <w:rPr>
          <w:rFonts w:ascii="ＭＳ ゴシック" w:eastAsia="メイリオ" w:cs="メイリオ" w:hint="eastAsia"/>
        </w:rPr>
        <w:t xml:space="preserve">る　　</w:t>
      </w:r>
      <w:r>
        <w:rPr>
          <w:rFonts w:ascii="メイリオ" w:hAnsi="メイリオ" w:cs="メイリオ"/>
        </w:rPr>
        <w:t xml:space="preserve"> </w:t>
      </w:r>
      <w:r>
        <w:rPr>
          <w:rFonts w:ascii="ＭＳ ゴシック" w:eastAsia="メイリオ" w:cs="メイリオ" w:hint="eastAsia"/>
        </w:rPr>
        <w:t>資料（社内コンプライアンスマニュアル，企業倫理綱領の抜粋等）を添付すること。</w:t>
      </w:r>
    </w:p>
    <w:p w14:paraId="114C4E1A" w14:textId="77777777" w:rsidR="00000000" w:rsidRDefault="003000B3">
      <w:pPr>
        <w:adjustRightInd/>
        <w:spacing w:line="248" w:lineRule="exact"/>
        <w:rPr>
          <w:rFonts w:ascii="ＭＳ ゴシック" w:cs="Times New Roman"/>
        </w:rPr>
      </w:pPr>
      <w:r>
        <w:rPr>
          <w:rFonts w:ascii="メイリオ" w:hAnsi="メイリオ" w:cs="メイリオ"/>
        </w:rPr>
        <w:t xml:space="preserve">    </w:t>
      </w:r>
      <w:r>
        <w:rPr>
          <w:rFonts w:ascii="ＭＳ ゴシック" w:eastAsia="メイリオ" w:cs="メイリオ" w:hint="eastAsia"/>
        </w:rPr>
        <w:t>（一般的な就業規則，文書管理手順書，車両管理運用規程等</w:t>
      </w:r>
      <w:r>
        <w:rPr>
          <w:rFonts w:ascii="ＭＳ ゴシック" w:eastAsia="メイリオ" w:cs="メイリオ" w:hint="eastAsia"/>
        </w:rPr>
        <w:t>の資料は該当しない。）</w:t>
      </w:r>
    </w:p>
    <w:sectPr w:rsidR="00000000">
      <w:type w:val="continuous"/>
      <w:pgSz w:w="11906" w:h="16838"/>
      <w:pgMar w:top="1190" w:right="908" w:bottom="738" w:left="908" w:header="720" w:footer="720" w:gutter="0"/>
      <w:pgNumType w:start="1"/>
      <w:cols w:space="720"/>
      <w:noEndnote/>
      <w:docGrid w:type="linesAndChars" w:linePitch="2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CDA0A" w14:textId="77777777" w:rsidR="00000000" w:rsidRDefault="003000B3">
      <w:r>
        <w:separator/>
      </w:r>
    </w:p>
  </w:endnote>
  <w:endnote w:type="continuationSeparator" w:id="0">
    <w:p w14:paraId="0ECE157B" w14:textId="77777777" w:rsidR="00000000" w:rsidRDefault="00300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CECD3" w14:textId="77777777" w:rsidR="00000000" w:rsidRDefault="003000B3">
      <w:r>
        <w:rPr>
          <w:rFonts w:ascii="ＭＳ ゴシック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890CB3C" w14:textId="77777777" w:rsidR="00000000" w:rsidRDefault="003000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revisionView w:inkAnnotations="0"/>
  <w:defaultTabStop w:val="956"/>
  <w:hyphenationZone w:val="0"/>
  <w:drawingGridHorizontalSpacing w:val="1"/>
  <w:drawingGridVerticalSpacing w:val="24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0B3"/>
    <w:rsid w:val="00300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90D840"/>
  <w14:defaultImageDpi w14:val="0"/>
  <w15:docId w15:val="{5E4C5806-3DFE-4C9E-8A53-CD8F32ECC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谷口　秀男_弓削</dc:creator>
  <cp:keywords/>
  <dc:description/>
  <cp:lastModifiedBy>谷口　秀男_弓削</cp:lastModifiedBy>
  <cp:revision>2</cp:revision>
  <dcterms:created xsi:type="dcterms:W3CDTF">2022-11-10T01:45:00Z</dcterms:created>
  <dcterms:modified xsi:type="dcterms:W3CDTF">2022-11-10T01:45:00Z</dcterms:modified>
</cp:coreProperties>
</file>